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3CA" w:rsidRDefault="002023CA"/>
    <w:p w:rsidR="002023CA" w:rsidRDefault="002023CA" w:rsidP="002023CA"/>
    <w:p w:rsidR="008C2A5E" w:rsidRDefault="008C2A5E" w:rsidP="002023CA"/>
    <w:p w:rsidR="008C2A5E" w:rsidRDefault="008C2A5E" w:rsidP="002023CA"/>
    <w:p w:rsidR="00890296" w:rsidRDefault="00890296" w:rsidP="002023CA"/>
    <w:p w:rsidR="00CA6FAD" w:rsidRDefault="00CA6FAD" w:rsidP="002023CA"/>
    <w:p w:rsidR="002023CA" w:rsidRPr="00DD7772" w:rsidRDefault="002023CA" w:rsidP="002023CA">
      <w:pPr>
        <w:spacing w:after="0"/>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/201</w:t>
      </w:r>
      <w:r w:rsidR="00F32F4D">
        <w:rPr>
          <w:rFonts w:ascii="Times New Roman" w:hAnsi="Times New Roman"/>
          <w:sz w:val="24"/>
          <w:szCs w:val="24"/>
        </w:rPr>
        <w:t>2</w:t>
      </w:r>
    </w:p>
    <w:p w:rsidR="002023CA" w:rsidRDefault="002023CA" w:rsidP="002023CA">
      <w:pPr>
        <w:spacing w:after="0"/>
        <w:jc w:val="both"/>
        <w:rPr>
          <w:rFonts w:ascii="Times New Roman" w:hAnsi="Times New Roman"/>
          <w:b/>
          <w:sz w:val="24"/>
          <w:szCs w:val="24"/>
        </w:rPr>
      </w:pPr>
    </w:p>
    <w:p w:rsidR="002023CA" w:rsidRPr="00264905" w:rsidRDefault="002023CA" w:rsidP="002023CA">
      <w:pPr>
        <w:spacing w:after="0"/>
        <w:jc w:val="both"/>
        <w:rPr>
          <w:rFonts w:ascii="Times New Roman" w:hAnsi="Times New Roman"/>
          <w:sz w:val="24"/>
          <w:szCs w:val="24"/>
        </w:rPr>
      </w:pPr>
      <w:r w:rsidRPr="00264905">
        <w:rPr>
          <w:rFonts w:ascii="Times New Roman" w:hAnsi="Times New Roman"/>
          <w:sz w:val="24"/>
          <w:szCs w:val="24"/>
        </w:rPr>
        <w:t>…………………………….</w:t>
      </w:r>
    </w:p>
    <w:p w:rsidR="002023CA" w:rsidRPr="00264905" w:rsidRDefault="002023CA" w:rsidP="002023CA">
      <w:pPr>
        <w:spacing w:after="0"/>
        <w:jc w:val="both"/>
        <w:rPr>
          <w:rFonts w:ascii="Times New Roman" w:hAnsi="Times New Roman"/>
          <w:sz w:val="24"/>
          <w:szCs w:val="24"/>
        </w:rPr>
      </w:pPr>
      <w:r w:rsidRPr="00264905">
        <w:rPr>
          <w:rFonts w:ascii="Times New Roman" w:hAnsi="Times New Roman"/>
          <w:sz w:val="24"/>
          <w:szCs w:val="24"/>
        </w:rPr>
        <w:t>……………………………..</w:t>
      </w:r>
    </w:p>
    <w:p w:rsidR="002023CA" w:rsidRPr="00264905" w:rsidRDefault="002023CA" w:rsidP="002023CA">
      <w:pPr>
        <w:spacing w:after="0"/>
        <w:jc w:val="both"/>
        <w:rPr>
          <w:rFonts w:ascii="Times New Roman" w:hAnsi="Times New Roman"/>
          <w:sz w:val="24"/>
          <w:szCs w:val="24"/>
        </w:rPr>
      </w:pPr>
      <w:r w:rsidRPr="00264905">
        <w:rPr>
          <w:rFonts w:ascii="Times New Roman" w:hAnsi="Times New Roman"/>
          <w:sz w:val="24"/>
          <w:szCs w:val="24"/>
        </w:rPr>
        <w:t>……………………………..</w:t>
      </w:r>
    </w:p>
    <w:p w:rsidR="002023CA" w:rsidRPr="00264905" w:rsidRDefault="002023CA" w:rsidP="002023CA">
      <w:pPr>
        <w:spacing w:after="0"/>
        <w:jc w:val="both"/>
        <w:rPr>
          <w:rFonts w:ascii="Times New Roman" w:hAnsi="Times New Roman"/>
          <w:sz w:val="24"/>
          <w:szCs w:val="24"/>
        </w:rPr>
      </w:pPr>
      <w:r w:rsidRPr="00264905">
        <w:rPr>
          <w:rFonts w:ascii="Times New Roman" w:hAnsi="Times New Roman"/>
          <w:sz w:val="24"/>
          <w:szCs w:val="24"/>
        </w:rPr>
        <w:t>……………………………..</w:t>
      </w:r>
    </w:p>
    <w:p w:rsidR="002023CA" w:rsidRPr="005443BA" w:rsidRDefault="002023CA" w:rsidP="002023CA">
      <w:pPr>
        <w:spacing w:after="0"/>
        <w:ind w:left="7200"/>
        <w:jc w:val="both"/>
        <w:rPr>
          <w:rFonts w:ascii="Times New Roman" w:hAnsi="Times New Roman"/>
          <w:b/>
          <w:sz w:val="24"/>
          <w:szCs w:val="24"/>
        </w:rPr>
      </w:pPr>
    </w:p>
    <w:p w:rsidR="002023CA" w:rsidRPr="005443BA" w:rsidRDefault="002023CA" w:rsidP="002023CA">
      <w:pPr>
        <w:jc w:val="both"/>
        <w:rPr>
          <w:rFonts w:ascii="Times New Roman" w:hAnsi="Times New Roman"/>
          <w:sz w:val="24"/>
          <w:szCs w:val="24"/>
        </w:rPr>
      </w:pPr>
      <w:r w:rsidRPr="005443BA">
        <w:rPr>
          <w:rFonts w:ascii="Times New Roman" w:hAnsi="Times New Roman"/>
          <w:sz w:val="24"/>
          <w:szCs w:val="24"/>
        </w:rPr>
        <w:t xml:space="preserve">Dear Sir, </w:t>
      </w:r>
    </w:p>
    <w:p w:rsidR="002023CA" w:rsidRPr="00091696" w:rsidRDefault="002023CA" w:rsidP="002023CA">
      <w:pPr>
        <w:spacing w:after="0"/>
        <w:jc w:val="both"/>
        <w:rPr>
          <w:rFonts w:ascii="Times New Roman" w:hAnsi="Times New Roman"/>
          <w:b/>
          <w:sz w:val="28"/>
          <w:szCs w:val="28"/>
          <w:u w:val="single"/>
        </w:rPr>
      </w:pPr>
      <w:r w:rsidRPr="00091696">
        <w:rPr>
          <w:rFonts w:ascii="Times New Roman" w:hAnsi="Times New Roman"/>
          <w:b/>
          <w:sz w:val="28"/>
          <w:szCs w:val="28"/>
          <w:u w:val="single"/>
        </w:rPr>
        <w:t xml:space="preserve">PROVISION OF DEBT COLLECTION SERVICE </w:t>
      </w:r>
    </w:p>
    <w:p w:rsidR="002023CA" w:rsidRDefault="002023CA" w:rsidP="002023CA">
      <w:pPr>
        <w:spacing w:after="0"/>
        <w:jc w:val="both"/>
        <w:rPr>
          <w:rFonts w:ascii="Times New Roman" w:hAnsi="Times New Roman"/>
          <w:b/>
          <w:sz w:val="26"/>
          <w:szCs w:val="26"/>
          <w:u w:val="single"/>
        </w:rPr>
      </w:pPr>
    </w:p>
    <w:p w:rsidR="002023CA" w:rsidRPr="00883263" w:rsidRDefault="002023CA" w:rsidP="002023CA">
      <w:pPr>
        <w:spacing w:after="0"/>
        <w:jc w:val="both"/>
        <w:rPr>
          <w:rFonts w:ascii="Times New Roman" w:hAnsi="Times New Roman"/>
          <w:b/>
          <w:sz w:val="26"/>
          <w:szCs w:val="26"/>
          <w:u w:val="single"/>
        </w:rPr>
      </w:pPr>
    </w:p>
    <w:p w:rsidR="002023CA" w:rsidRPr="005443BA" w:rsidRDefault="002023CA" w:rsidP="002023CA">
      <w:pPr>
        <w:pStyle w:val="ListParagraph"/>
        <w:numPr>
          <w:ilvl w:val="0"/>
          <w:numId w:val="1"/>
        </w:numPr>
        <w:jc w:val="both"/>
        <w:rPr>
          <w:rFonts w:ascii="Times New Roman" w:hAnsi="Times New Roman"/>
          <w:b/>
          <w:sz w:val="24"/>
          <w:szCs w:val="24"/>
          <w:u w:val="single"/>
        </w:rPr>
      </w:pPr>
      <w:r w:rsidRPr="005443BA">
        <w:rPr>
          <w:rFonts w:ascii="Times New Roman" w:hAnsi="Times New Roman"/>
          <w:b/>
          <w:sz w:val="24"/>
          <w:szCs w:val="24"/>
          <w:u w:val="single"/>
        </w:rPr>
        <w:t xml:space="preserve">INTRODUCTION </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Equinox Credit Ratings and Debt Collections </w:t>
      </w:r>
      <w:r>
        <w:rPr>
          <w:rFonts w:ascii="Times New Roman" w:hAnsi="Times New Roman"/>
          <w:sz w:val="24"/>
          <w:szCs w:val="24"/>
        </w:rPr>
        <w:t>Company Limited</w:t>
      </w:r>
      <w:r w:rsidRPr="005443BA">
        <w:rPr>
          <w:rFonts w:ascii="Times New Roman" w:hAnsi="Times New Roman"/>
          <w:sz w:val="24"/>
          <w:szCs w:val="24"/>
        </w:rPr>
        <w:t xml:space="preserve"> was Incorporated under the laws of </w:t>
      </w:r>
      <w:smartTag w:uri="urn:schemas-microsoft-com:office:smarttags" w:element="place">
        <w:smartTag w:uri="urn:schemas-microsoft-com:office:smarttags" w:element="country-region">
          <w:r w:rsidRPr="005443BA">
            <w:rPr>
              <w:rFonts w:ascii="Times New Roman" w:hAnsi="Times New Roman"/>
              <w:sz w:val="24"/>
              <w:szCs w:val="24"/>
            </w:rPr>
            <w:t>Ghana</w:t>
          </w:r>
        </w:smartTag>
      </w:smartTag>
      <w:r w:rsidRPr="005443BA">
        <w:rPr>
          <w:rFonts w:ascii="Times New Roman" w:hAnsi="Times New Roman"/>
          <w:sz w:val="24"/>
          <w:szCs w:val="24"/>
        </w:rPr>
        <w:t xml:space="preserve"> since March, 2001 and in the business of recovering debts for Individuals, Corporate bodies, Banks and Financial Institutions.</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The principal objective of the Company has been to develop and maintain an operational profile which will continue to deliver standards in assisting the above mentioned to retrieve debts owed them in various forms.</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Since 1992, when </w:t>
      </w:r>
      <w:smartTag w:uri="urn:schemas-microsoft-com:office:smarttags" w:element="place">
        <w:smartTag w:uri="urn:schemas-microsoft-com:office:smarttags" w:element="country-region">
          <w:r w:rsidRPr="005443BA">
            <w:rPr>
              <w:rFonts w:ascii="Times New Roman" w:hAnsi="Times New Roman"/>
              <w:sz w:val="24"/>
              <w:szCs w:val="24"/>
            </w:rPr>
            <w:t>Ghana</w:t>
          </w:r>
        </w:smartTag>
      </w:smartTag>
      <w:r w:rsidRPr="005443BA">
        <w:rPr>
          <w:rFonts w:ascii="Times New Roman" w:hAnsi="Times New Roman"/>
          <w:sz w:val="24"/>
          <w:szCs w:val="24"/>
        </w:rPr>
        <w:t xml:space="preserve"> deregulated its debt collection systems, thus opening up a new market to provide debt recovery services. Equinox Credit Ratings And Collections (ECC) has been in the fore front since its incorporation, and has been dedicated to the focus of assisting in this direction, thus providing solution that takes off the heat and pressures that you may face by utilizing innovative approaches to Credit Asset Management whilst we ensure that the existing cordial relationship between you and your client is not derailed.</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ECC also support its clientele in Due Diligence on work staff and new client, where we strive to provide information to our clients for their decision making process.</w:t>
      </w:r>
    </w:p>
    <w:p w:rsidR="002023C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ECC also supports clientele by helping them set up recovery departments and also training their recovery staff so as to get the maximum effect and desired results in setting up the department. We also assist the sales and marketing teams of our client on how to identify early signals of default.</w:t>
      </w:r>
    </w:p>
    <w:p w:rsidR="002023CA" w:rsidRDefault="002023CA" w:rsidP="002023CA">
      <w:pPr>
        <w:pStyle w:val="ListParagraph"/>
        <w:jc w:val="both"/>
        <w:rPr>
          <w:rFonts w:ascii="Times New Roman" w:hAnsi="Times New Roman"/>
          <w:b/>
          <w:sz w:val="24"/>
          <w:szCs w:val="24"/>
          <w:u w:val="single"/>
        </w:rPr>
      </w:pPr>
    </w:p>
    <w:p w:rsidR="001E52D8" w:rsidRDefault="001E52D8" w:rsidP="002023CA">
      <w:pPr>
        <w:pStyle w:val="ListParagraph"/>
        <w:jc w:val="both"/>
        <w:rPr>
          <w:rFonts w:ascii="Times New Roman" w:hAnsi="Times New Roman"/>
          <w:b/>
          <w:sz w:val="24"/>
          <w:szCs w:val="24"/>
          <w:u w:val="single"/>
        </w:rPr>
      </w:pPr>
    </w:p>
    <w:p w:rsidR="001E52D8" w:rsidRDefault="001E52D8" w:rsidP="002023CA">
      <w:pPr>
        <w:pStyle w:val="ListParagraph"/>
        <w:jc w:val="both"/>
        <w:rPr>
          <w:rFonts w:ascii="Times New Roman" w:hAnsi="Times New Roman"/>
          <w:b/>
          <w:sz w:val="24"/>
          <w:szCs w:val="24"/>
          <w:u w:val="single"/>
        </w:rPr>
      </w:pPr>
    </w:p>
    <w:p w:rsidR="008C2A5E" w:rsidRDefault="008C2A5E" w:rsidP="002023CA">
      <w:pPr>
        <w:pStyle w:val="ListParagraph"/>
        <w:jc w:val="both"/>
        <w:rPr>
          <w:rFonts w:ascii="Times New Roman" w:hAnsi="Times New Roman"/>
          <w:b/>
          <w:sz w:val="24"/>
          <w:szCs w:val="24"/>
          <w:u w:val="single"/>
        </w:rPr>
      </w:pPr>
    </w:p>
    <w:p w:rsidR="008C2A5E" w:rsidRDefault="008C2A5E" w:rsidP="002023CA">
      <w:pPr>
        <w:pStyle w:val="ListParagraph"/>
        <w:jc w:val="both"/>
        <w:rPr>
          <w:rFonts w:ascii="Times New Roman" w:hAnsi="Times New Roman"/>
          <w:b/>
          <w:sz w:val="24"/>
          <w:szCs w:val="24"/>
          <w:u w:val="single"/>
        </w:rPr>
      </w:pPr>
    </w:p>
    <w:p w:rsidR="002023CA" w:rsidRPr="005443BA" w:rsidRDefault="002023CA" w:rsidP="002023CA">
      <w:pPr>
        <w:pStyle w:val="ListParagraph"/>
        <w:numPr>
          <w:ilvl w:val="0"/>
          <w:numId w:val="1"/>
        </w:numPr>
        <w:jc w:val="both"/>
        <w:rPr>
          <w:rFonts w:ascii="Times New Roman" w:hAnsi="Times New Roman"/>
          <w:b/>
          <w:sz w:val="24"/>
          <w:szCs w:val="24"/>
          <w:u w:val="single"/>
        </w:rPr>
      </w:pPr>
      <w:r w:rsidRPr="005443BA">
        <w:rPr>
          <w:rFonts w:ascii="Times New Roman" w:hAnsi="Times New Roman"/>
          <w:b/>
          <w:sz w:val="24"/>
          <w:szCs w:val="24"/>
          <w:u w:val="single"/>
        </w:rPr>
        <w:t>CLIENTS</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Our clients can be categorized as follows:</w:t>
      </w:r>
    </w:p>
    <w:p w:rsidR="002023CA" w:rsidRPr="005443BA" w:rsidRDefault="002023CA" w:rsidP="002023CA">
      <w:pPr>
        <w:pStyle w:val="ListParagraph"/>
        <w:numPr>
          <w:ilvl w:val="1"/>
          <w:numId w:val="1"/>
        </w:numPr>
        <w:tabs>
          <w:tab w:val="clear" w:pos="1440"/>
          <w:tab w:val="num" w:pos="1080"/>
        </w:tabs>
        <w:ind w:left="1080"/>
        <w:jc w:val="both"/>
        <w:rPr>
          <w:rFonts w:ascii="Times New Roman" w:hAnsi="Times New Roman"/>
          <w:sz w:val="24"/>
          <w:szCs w:val="24"/>
        </w:rPr>
      </w:pPr>
      <w:r w:rsidRPr="005443BA">
        <w:rPr>
          <w:rFonts w:ascii="Times New Roman" w:hAnsi="Times New Roman"/>
          <w:sz w:val="24"/>
          <w:szCs w:val="24"/>
        </w:rPr>
        <w:t>Oil Marketing Companies</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Banks</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Leasing Companies</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Real Estate Developers</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 xml:space="preserve">Manufacturing &amp; Production Business </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Non Banking financial institutions</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Business owners(private Business)</w:t>
      </w:r>
    </w:p>
    <w:p w:rsidR="002023CA" w:rsidRPr="005443BA" w:rsidRDefault="002023CA" w:rsidP="002023CA">
      <w:pPr>
        <w:pStyle w:val="ListParagraph"/>
        <w:numPr>
          <w:ilvl w:val="1"/>
          <w:numId w:val="1"/>
        </w:numPr>
        <w:tabs>
          <w:tab w:val="clear" w:pos="1440"/>
          <w:tab w:val="num" w:pos="1080"/>
        </w:tabs>
        <w:ind w:left="1080"/>
        <w:jc w:val="both"/>
        <w:rPr>
          <w:rFonts w:ascii="Times New Roman" w:hAnsi="Times New Roman"/>
          <w:sz w:val="24"/>
          <w:szCs w:val="24"/>
        </w:rPr>
      </w:pPr>
      <w:r w:rsidRPr="005443BA">
        <w:rPr>
          <w:rFonts w:ascii="Times New Roman" w:hAnsi="Times New Roman"/>
          <w:sz w:val="24"/>
          <w:szCs w:val="24"/>
        </w:rPr>
        <w:t>Savings &amp; loans</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Government organizations</w:t>
      </w:r>
    </w:p>
    <w:p w:rsidR="002023CA" w:rsidRPr="005443BA" w:rsidRDefault="002023CA" w:rsidP="002023CA">
      <w:pPr>
        <w:pStyle w:val="ListParagraph"/>
        <w:numPr>
          <w:ilvl w:val="1"/>
          <w:numId w:val="1"/>
        </w:numPr>
        <w:tabs>
          <w:tab w:val="clear" w:pos="1440"/>
        </w:tabs>
        <w:ind w:left="1080"/>
        <w:jc w:val="both"/>
        <w:rPr>
          <w:rFonts w:ascii="Times New Roman" w:hAnsi="Times New Roman"/>
          <w:sz w:val="24"/>
          <w:szCs w:val="24"/>
        </w:rPr>
      </w:pPr>
      <w:r w:rsidRPr="005443BA">
        <w:rPr>
          <w:rFonts w:ascii="Times New Roman" w:hAnsi="Times New Roman"/>
          <w:sz w:val="24"/>
          <w:szCs w:val="24"/>
        </w:rPr>
        <w:t xml:space="preserve">Individuals </w:t>
      </w:r>
    </w:p>
    <w:p w:rsidR="002023CA" w:rsidRPr="005443BA" w:rsidRDefault="002023CA" w:rsidP="002023CA">
      <w:pPr>
        <w:pStyle w:val="ListParagraph"/>
        <w:numPr>
          <w:ilvl w:val="1"/>
          <w:numId w:val="1"/>
        </w:numPr>
        <w:tabs>
          <w:tab w:val="clear" w:pos="1440"/>
          <w:tab w:val="num" w:pos="1080"/>
        </w:tabs>
        <w:ind w:hanging="720"/>
        <w:jc w:val="both"/>
        <w:rPr>
          <w:rFonts w:ascii="Times New Roman" w:hAnsi="Times New Roman"/>
          <w:sz w:val="24"/>
          <w:szCs w:val="24"/>
        </w:rPr>
      </w:pPr>
      <w:r w:rsidRPr="005443BA">
        <w:rPr>
          <w:rFonts w:ascii="Times New Roman" w:hAnsi="Times New Roman"/>
          <w:sz w:val="24"/>
          <w:szCs w:val="24"/>
        </w:rPr>
        <w:t>Hotels</w:t>
      </w:r>
    </w:p>
    <w:p w:rsidR="002023CA" w:rsidRPr="005443BA" w:rsidRDefault="002023CA" w:rsidP="002023CA">
      <w:pPr>
        <w:pStyle w:val="ListParagraph"/>
        <w:ind w:left="1080"/>
        <w:jc w:val="both"/>
        <w:rPr>
          <w:rFonts w:ascii="Times New Roman" w:hAnsi="Times New Roman"/>
          <w:sz w:val="24"/>
          <w:szCs w:val="24"/>
        </w:rPr>
      </w:pPr>
    </w:p>
    <w:p w:rsidR="002023CA" w:rsidRPr="005443BA" w:rsidRDefault="002023CA" w:rsidP="002023CA">
      <w:pPr>
        <w:pStyle w:val="ListParagraph"/>
        <w:numPr>
          <w:ilvl w:val="0"/>
          <w:numId w:val="1"/>
        </w:numPr>
        <w:jc w:val="both"/>
        <w:rPr>
          <w:rFonts w:ascii="Times New Roman" w:hAnsi="Times New Roman"/>
          <w:b/>
          <w:sz w:val="24"/>
          <w:szCs w:val="24"/>
          <w:u w:val="single"/>
        </w:rPr>
      </w:pPr>
      <w:r w:rsidRPr="005443BA">
        <w:rPr>
          <w:rFonts w:ascii="Times New Roman" w:hAnsi="Times New Roman"/>
          <w:b/>
          <w:sz w:val="24"/>
          <w:szCs w:val="24"/>
          <w:u w:val="single"/>
        </w:rPr>
        <w:t>FEES CHARGED</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Our commission charge is between </w:t>
      </w:r>
      <w:r w:rsidR="00D0138B" w:rsidRPr="005443BA">
        <w:rPr>
          <w:rFonts w:ascii="Times New Roman" w:hAnsi="Times New Roman"/>
          <w:sz w:val="24"/>
          <w:szCs w:val="24"/>
        </w:rPr>
        <w:t xml:space="preserve">15% </w:t>
      </w:r>
      <w:r w:rsidRPr="005443BA">
        <w:rPr>
          <w:rFonts w:ascii="Times New Roman" w:hAnsi="Times New Roman"/>
          <w:sz w:val="24"/>
          <w:szCs w:val="24"/>
        </w:rPr>
        <w:t>on the debt portfolio. This Commission/Fee is paid to us within seven (7) days after an invoice is presented to you at the end of every month’s commissions.</w:t>
      </w:r>
      <w:r>
        <w:rPr>
          <w:rFonts w:ascii="Times New Roman" w:hAnsi="Times New Roman"/>
          <w:sz w:val="24"/>
          <w:szCs w:val="24"/>
        </w:rPr>
        <w:t xml:space="preserve"> Where payments are made in foreign currency we expect our commission to be paid in the corresponding currency. </w:t>
      </w:r>
      <w:r w:rsidRPr="005443BA">
        <w:rPr>
          <w:rFonts w:ascii="Times New Roman" w:hAnsi="Times New Roman"/>
          <w:sz w:val="24"/>
          <w:szCs w:val="24"/>
        </w:rPr>
        <w:t>We also charge a processing fee- based on the value on the debt portfolio. This processing fees serves as administrative and registration charges with the Company and it is a onetime charge only and non refundable.</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For support services like Due Diligence and training of recovery staff a fee acceptable to both parties is agreed upon.</w:t>
      </w:r>
    </w:p>
    <w:p w:rsidR="002023CA" w:rsidRPr="005443BA" w:rsidRDefault="002023CA" w:rsidP="002023CA">
      <w:pPr>
        <w:jc w:val="both"/>
        <w:rPr>
          <w:rFonts w:ascii="Times New Roman" w:hAnsi="Times New Roman"/>
          <w:sz w:val="24"/>
          <w:szCs w:val="24"/>
        </w:rPr>
      </w:pPr>
    </w:p>
    <w:p w:rsidR="002023CA" w:rsidRPr="005443BA" w:rsidRDefault="002023CA" w:rsidP="002023CA">
      <w:pPr>
        <w:pStyle w:val="ListParagraph"/>
        <w:numPr>
          <w:ilvl w:val="0"/>
          <w:numId w:val="1"/>
        </w:numPr>
        <w:ind w:hanging="720"/>
        <w:jc w:val="both"/>
        <w:rPr>
          <w:rFonts w:ascii="Times New Roman" w:hAnsi="Times New Roman"/>
          <w:b/>
          <w:sz w:val="24"/>
          <w:szCs w:val="24"/>
          <w:u w:val="single"/>
        </w:rPr>
      </w:pPr>
      <w:r w:rsidRPr="005443BA">
        <w:rPr>
          <w:rFonts w:ascii="Times New Roman" w:hAnsi="Times New Roman"/>
          <w:b/>
          <w:sz w:val="24"/>
          <w:szCs w:val="24"/>
          <w:u w:val="single"/>
        </w:rPr>
        <w:t>OPERATIONS OUTLINE</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Debtors are served with letters of indebtedness and given 48hrs within which period they have to report to our offices, for discussion and payment negotiations.</w:t>
      </w:r>
    </w:p>
    <w:p w:rsidR="002023CA" w:rsidRPr="005443BA" w:rsidRDefault="002023CA" w:rsidP="002023CA">
      <w:pPr>
        <w:pStyle w:val="ListParagraph"/>
        <w:jc w:val="both"/>
        <w:rPr>
          <w:rFonts w:ascii="Times New Roman" w:hAnsi="Times New Roman"/>
          <w:sz w:val="24"/>
          <w:szCs w:val="24"/>
        </w:rPr>
      </w:pPr>
      <w:r>
        <w:rPr>
          <w:rFonts w:ascii="Times New Roman" w:hAnsi="Times New Roman"/>
          <w:sz w:val="24"/>
          <w:szCs w:val="24"/>
        </w:rPr>
        <w:t>We also let them know that they have not more than three (3) months to pay all their debt during that period.</w:t>
      </w:r>
    </w:p>
    <w:p w:rsidR="002023CA" w:rsidRDefault="002023CA" w:rsidP="002023CA">
      <w:pPr>
        <w:pStyle w:val="ListParagraph"/>
        <w:jc w:val="both"/>
        <w:rPr>
          <w:rFonts w:ascii="Times New Roman" w:hAnsi="Times New Roman"/>
          <w:sz w:val="24"/>
          <w:szCs w:val="24"/>
        </w:rPr>
      </w:pPr>
    </w:p>
    <w:p w:rsidR="002023C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A team of well trained, Executive Collector, Recovery, Task Force And Bounty Hunters </w:t>
      </w:r>
      <w:r>
        <w:rPr>
          <w:rFonts w:ascii="Times New Roman" w:hAnsi="Times New Roman"/>
          <w:sz w:val="24"/>
          <w:szCs w:val="24"/>
        </w:rPr>
        <w:t>are</w:t>
      </w:r>
      <w:r w:rsidRPr="005443BA">
        <w:rPr>
          <w:rFonts w:ascii="Times New Roman" w:hAnsi="Times New Roman"/>
          <w:sz w:val="24"/>
          <w:szCs w:val="24"/>
        </w:rPr>
        <w:t xml:space="preserve"> then deployed</w:t>
      </w:r>
      <w:r>
        <w:rPr>
          <w:rFonts w:ascii="Times New Roman" w:hAnsi="Times New Roman"/>
          <w:sz w:val="24"/>
          <w:szCs w:val="24"/>
        </w:rPr>
        <w:t xml:space="preserve"> to</w:t>
      </w:r>
      <w:r w:rsidRPr="005443BA">
        <w:rPr>
          <w:rFonts w:ascii="Times New Roman" w:hAnsi="Times New Roman"/>
          <w:sz w:val="24"/>
          <w:szCs w:val="24"/>
        </w:rPr>
        <w:t xml:space="preserve"> undertake  the recovery process after our ECC team of seasoned counselor</w:t>
      </w:r>
      <w:r>
        <w:rPr>
          <w:rFonts w:ascii="Times New Roman" w:hAnsi="Times New Roman"/>
          <w:sz w:val="24"/>
          <w:szCs w:val="24"/>
        </w:rPr>
        <w:t>s</w:t>
      </w:r>
      <w:r w:rsidRPr="005443BA">
        <w:rPr>
          <w:rFonts w:ascii="Times New Roman" w:hAnsi="Times New Roman"/>
          <w:sz w:val="24"/>
          <w:szCs w:val="24"/>
        </w:rPr>
        <w:t xml:space="preserve"> have had an </w:t>
      </w:r>
      <w:proofErr w:type="spellStart"/>
      <w:r w:rsidRPr="005443BA">
        <w:rPr>
          <w:rFonts w:ascii="Times New Roman" w:hAnsi="Times New Roman"/>
          <w:sz w:val="24"/>
          <w:szCs w:val="24"/>
        </w:rPr>
        <w:t>indepth</w:t>
      </w:r>
      <w:proofErr w:type="spellEnd"/>
      <w:r w:rsidRPr="005443BA">
        <w:rPr>
          <w:rFonts w:ascii="Times New Roman" w:hAnsi="Times New Roman"/>
          <w:sz w:val="24"/>
          <w:szCs w:val="24"/>
        </w:rPr>
        <w:t xml:space="preserve"> counselin</w:t>
      </w:r>
      <w:r>
        <w:rPr>
          <w:rFonts w:ascii="Times New Roman" w:hAnsi="Times New Roman"/>
          <w:sz w:val="24"/>
          <w:szCs w:val="24"/>
        </w:rPr>
        <w:t xml:space="preserve">g session in credit management </w:t>
      </w:r>
      <w:r w:rsidRPr="005443BA">
        <w:rPr>
          <w:rFonts w:ascii="Times New Roman" w:hAnsi="Times New Roman"/>
          <w:sz w:val="24"/>
          <w:szCs w:val="24"/>
        </w:rPr>
        <w:t>with the defaulters. With method we have managed to maintain and in some cases even strengthened defaulter’s relationship with their clients.</w:t>
      </w:r>
    </w:p>
    <w:p w:rsidR="002023CA" w:rsidRDefault="002023CA" w:rsidP="002023CA">
      <w:pPr>
        <w:pStyle w:val="ListParagraph"/>
        <w:ind w:left="0"/>
        <w:jc w:val="both"/>
        <w:rPr>
          <w:rFonts w:ascii="Times New Roman" w:hAnsi="Times New Roman"/>
          <w:b/>
          <w:sz w:val="24"/>
          <w:szCs w:val="24"/>
        </w:rPr>
      </w:pPr>
    </w:p>
    <w:p w:rsidR="001E52D8" w:rsidRDefault="001E52D8" w:rsidP="002023CA">
      <w:pPr>
        <w:pStyle w:val="ListParagraph"/>
        <w:ind w:left="0"/>
        <w:jc w:val="both"/>
        <w:rPr>
          <w:rFonts w:ascii="Times New Roman" w:hAnsi="Times New Roman"/>
          <w:b/>
          <w:sz w:val="24"/>
          <w:szCs w:val="24"/>
        </w:rPr>
      </w:pPr>
    </w:p>
    <w:p w:rsidR="001E52D8" w:rsidRDefault="001E52D8" w:rsidP="002023CA">
      <w:pPr>
        <w:pStyle w:val="ListParagraph"/>
        <w:ind w:left="0"/>
        <w:jc w:val="both"/>
        <w:rPr>
          <w:rFonts w:ascii="Times New Roman" w:hAnsi="Times New Roman"/>
          <w:b/>
          <w:sz w:val="24"/>
          <w:szCs w:val="24"/>
        </w:rPr>
      </w:pPr>
    </w:p>
    <w:p w:rsidR="001E52D8" w:rsidRDefault="001E52D8" w:rsidP="002023CA">
      <w:pPr>
        <w:pStyle w:val="ListParagraph"/>
        <w:ind w:left="0"/>
        <w:jc w:val="both"/>
        <w:rPr>
          <w:rFonts w:ascii="Times New Roman" w:hAnsi="Times New Roman"/>
          <w:b/>
          <w:sz w:val="24"/>
          <w:szCs w:val="24"/>
        </w:rPr>
      </w:pPr>
    </w:p>
    <w:p w:rsidR="001E52D8" w:rsidRDefault="001E52D8" w:rsidP="002023CA">
      <w:pPr>
        <w:pStyle w:val="ListParagraph"/>
        <w:ind w:left="0"/>
        <w:jc w:val="both"/>
        <w:rPr>
          <w:rFonts w:ascii="Times New Roman" w:hAnsi="Times New Roman"/>
          <w:b/>
          <w:sz w:val="24"/>
          <w:szCs w:val="24"/>
        </w:rPr>
      </w:pPr>
    </w:p>
    <w:p w:rsidR="008C2A5E" w:rsidRDefault="008C2A5E" w:rsidP="002023CA">
      <w:pPr>
        <w:pStyle w:val="ListParagraph"/>
        <w:ind w:left="0"/>
        <w:jc w:val="both"/>
        <w:rPr>
          <w:rFonts w:ascii="Times New Roman" w:hAnsi="Times New Roman"/>
          <w:b/>
          <w:sz w:val="24"/>
          <w:szCs w:val="24"/>
        </w:rPr>
      </w:pPr>
    </w:p>
    <w:p w:rsidR="008C2A5E" w:rsidRDefault="008C2A5E" w:rsidP="002023CA">
      <w:pPr>
        <w:pStyle w:val="ListParagraph"/>
        <w:ind w:left="0"/>
        <w:jc w:val="both"/>
        <w:rPr>
          <w:rFonts w:ascii="Times New Roman" w:hAnsi="Times New Roman"/>
          <w:b/>
          <w:sz w:val="24"/>
          <w:szCs w:val="24"/>
        </w:rPr>
      </w:pPr>
    </w:p>
    <w:p w:rsidR="001E52D8" w:rsidRDefault="001E52D8" w:rsidP="002023CA">
      <w:pPr>
        <w:pStyle w:val="ListParagraph"/>
        <w:ind w:left="0"/>
        <w:jc w:val="both"/>
        <w:rPr>
          <w:rFonts w:ascii="Times New Roman" w:hAnsi="Times New Roman"/>
          <w:b/>
          <w:sz w:val="24"/>
          <w:szCs w:val="24"/>
        </w:rPr>
      </w:pPr>
    </w:p>
    <w:p w:rsidR="001E52D8" w:rsidRDefault="001E52D8" w:rsidP="002023CA">
      <w:pPr>
        <w:pStyle w:val="ListParagraph"/>
        <w:ind w:left="0"/>
        <w:jc w:val="both"/>
        <w:rPr>
          <w:rFonts w:ascii="Times New Roman" w:hAnsi="Times New Roman"/>
          <w:b/>
          <w:sz w:val="24"/>
          <w:szCs w:val="24"/>
        </w:rPr>
      </w:pPr>
    </w:p>
    <w:p w:rsidR="002023CA" w:rsidRPr="00E333C6" w:rsidRDefault="002023CA" w:rsidP="002023CA">
      <w:pPr>
        <w:pStyle w:val="ListParagraph"/>
        <w:ind w:left="0"/>
        <w:jc w:val="both"/>
        <w:rPr>
          <w:rFonts w:ascii="Times New Roman" w:hAnsi="Times New Roman"/>
          <w:b/>
          <w:sz w:val="24"/>
          <w:szCs w:val="24"/>
        </w:rPr>
      </w:pPr>
      <w:r w:rsidRPr="00E333C6">
        <w:rPr>
          <w:rFonts w:ascii="Times New Roman" w:hAnsi="Times New Roman"/>
          <w:b/>
          <w:sz w:val="24"/>
          <w:szCs w:val="24"/>
        </w:rPr>
        <w:t xml:space="preserve">5.         </w:t>
      </w:r>
      <w:r w:rsidRPr="00E333C6">
        <w:rPr>
          <w:rFonts w:ascii="Times New Roman" w:hAnsi="Times New Roman"/>
          <w:b/>
          <w:sz w:val="24"/>
          <w:szCs w:val="24"/>
          <w:u w:val="single"/>
        </w:rPr>
        <w:t>PAYMENTS</w:t>
      </w:r>
      <w:r>
        <w:rPr>
          <w:rFonts w:ascii="Times New Roman" w:hAnsi="Times New Roman"/>
          <w:b/>
          <w:sz w:val="24"/>
          <w:szCs w:val="24"/>
          <w:u w:val="single"/>
        </w:rPr>
        <w:t xml:space="preserve"> </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ECC prefers that defaulters make direct payments to our clients and after render the receipts to us for proof of payment. If payments have to be collected by our agents, then </w:t>
      </w:r>
      <w:r>
        <w:rPr>
          <w:rFonts w:ascii="Times New Roman" w:hAnsi="Times New Roman"/>
          <w:sz w:val="24"/>
          <w:szCs w:val="24"/>
        </w:rPr>
        <w:t xml:space="preserve">they will immediately submit all </w:t>
      </w:r>
      <w:r w:rsidRPr="005443BA">
        <w:rPr>
          <w:rFonts w:ascii="Times New Roman" w:hAnsi="Times New Roman"/>
          <w:sz w:val="24"/>
          <w:szCs w:val="24"/>
        </w:rPr>
        <w:t>payments to our office with a poli</w:t>
      </w:r>
      <w:r>
        <w:rPr>
          <w:rFonts w:ascii="Times New Roman" w:hAnsi="Times New Roman"/>
          <w:sz w:val="24"/>
          <w:szCs w:val="24"/>
        </w:rPr>
        <w:t>ce escort and the office will the</w:t>
      </w:r>
      <w:r w:rsidRPr="005443BA">
        <w:rPr>
          <w:rFonts w:ascii="Times New Roman" w:hAnsi="Times New Roman"/>
          <w:sz w:val="24"/>
          <w:szCs w:val="24"/>
        </w:rPr>
        <w:t>n ensure clients receive the payments in not more than 24hrs.</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Cheques are always taken in the name of the client and in cases of postdated ch</w:t>
      </w:r>
      <w:r>
        <w:rPr>
          <w:rFonts w:ascii="Times New Roman" w:hAnsi="Times New Roman"/>
          <w:sz w:val="24"/>
          <w:szCs w:val="24"/>
        </w:rPr>
        <w:t>eques we hold the cheques till</w:t>
      </w:r>
      <w:r w:rsidRPr="005443BA">
        <w:rPr>
          <w:rFonts w:ascii="Times New Roman" w:hAnsi="Times New Roman"/>
          <w:sz w:val="24"/>
          <w:szCs w:val="24"/>
        </w:rPr>
        <w:t xml:space="preserve"> maturity and confirm with the defaulter that the cheque will be honored before releasing it to the client, thereby reducing instances of returned or dishonored  cheques.</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These procedures have given ECC a competitive advantage establishing trust with our clients and have made the payments of commissions easier in that before an invoice is sent to the client</w:t>
      </w:r>
      <w:r>
        <w:rPr>
          <w:rFonts w:ascii="Times New Roman" w:hAnsi="Times New Roman"/>
          <w:sz w:val="24"/>
          <w:szCs w:val="24"/>
        </w:rPr>
        <w:t>,</w:t>
      </w:r>
      <w:r w:rsidRPr="005443BA">
        <w:rPr>
          <w:rFonts w:ascii="Times New Roman" w:hAnsi="Times New Roman"/>
          <w:sz w:val="24"/>
          <w:szCs w:val="24"/>
        </w:rPr>
        <w:t xml:space="preserve"> the payments are already with the client, or in the client’s Bank account.</w:t>
      </w:r>
    </w:p>
    <w:p w:rsidR="002023CA" w:rsidRDefault="002023CA" w:rsidP="002023CA">
      <w:pPr>
        <w:pStyle w:val="ListParagraph"/>
        <w:ind w:left="0"/>
        <w:jc w:val="both"/>
        <w:rPr>
          <w:rFonts w:ascii="Times New Roman" w:hAnsi="Times New Roman"/>
          <w:sz w:val="24"/>
          <w:szCs w:val="24"/>
        </w:rPr>
      </w:pPr>
    </w:p>
    <w:p w:rsidR="002023CA" w:rsidRDefault="002023CA" w:rsidP="002023CA">
      <w:pPr>
        <w:pStyle w:val="ListParagraph"/>
        <w:ind w:left="0"/>
        <w:jc w:val="both"/>
        <w:rPr>
          <w:rFonts w:ascii="Times New Roman" w:hAnsi="Times New Roman"/>
          <w:sz w:val="24"/>
          <w:szCs w:val="24"/>
        </w:rPr>
      </w:pPr>
    </w:p>
    <w:p w:rsidR="002023CA" w:rsidRPr="00AA1B41" w:rsidRDefault="002023CA" w:rsidP="002023CA">
      <w:pPr>
        <w:pStyle w:val="ListParagraph"/>
        <w:ind w:left="360"/>
        <w:jc w:val="both"/>
        <w:rPr>
          <w:rFonts w:ascii="Times New Roman" w:hAnsi="Times New Roman"/>
          <w:b/>
          <w:sz w:val="24"/>
          <w:szCs w:val="24"/>
        </w:rPr>
      </w:pPr>
      <w:r w:rsidRPr="00AA1B41">
        <w:rPr>
          <w:rFonts w:ascii="Times New Roman" w:hAnsi="Times New Roman"/>
          <w:b/>
          <w:sz w:val="24"/>
          <w:szCs w:val="24"/>
        </w:rPr>
        <w:t xml:space="preserve">6.   </w:t>
      </w:r>
      <w:r w:rsidRPr="00AA1B41">
        <w:rPr>
          <w:rFonts w:ascii="Times New Roman" w:hAnsi="Times New Roman"/>
          <w:b/>
          <w:sz w:val="24"/>
          <w:szCs w:val="24"/>
          <w:u w:val="single"/>
        </w:rPr>
        <w:t>LEGAL AND AUDITS</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In case a debtor’s case goes to Court which is the last resort and an action we usually deem inexpedient, the client will be responsible for the filling fee and any other legal charges.</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Equinox has a responsible team of lawyers in </w:t>
      </w:r>
      <w:smartTag w:uri="urn:schemas-microsoft-com:office:smarttags" w:element="City">
        <w:r w:rsidRPr="005443BA">
          <w:rPr>
            <w:rFonts w:ascii="Times New Roman" w:hAnsi="Times New Roman"/>
            <w:sz w:val="24"/>
            <w:szCs w:val="24"/>
          </w:rPr>
          <w:t>Accra</w:t>
        </w:r>
      </w:smartTag>
      <w:r w:rsidRPr="005443BA">
        <w:rPr>
          <w:rFonts w:ascii="Times New Roman" w:hAnsi="Times New Roman"/>
          <w:sz w:val="24"/>
          <w:szCs w:val="24"/>
        </w:rPr>
        <w:t xml:space="preserve">, </w:t>
      </w:r>
      <w:smartTag w:uri="urn:schemas-microsoft-com:office:smarttags" w:element="place">
        <w:smartTag w:uri="urn:schemas-microsoft-com:office:smarttags" w:element="City">
          <w:r w:rsidRPr="005443BA">
            <w:rPr>
              <w:rFonts w:ascii="Times New Roman" w:hAnsi="Times New Roman"/>
              <w:sz w:val="24"/>
              <w:szCs w:val="24"/>
            </w:rPr>
            <w:t>Kumasi</w:t>
          </w:r>
        </w:smartTag>
      </w:smartTag>
      <w:r w:rsidRPr="005443BA">
        <w:rPr>
          <w:rFonts w:ascii="Times New Roman" w:hAnsi="Times New Roman"/>
          <w:sz w:val="24"/>
          <w:szCs w:val="24"/>
        </w:rPr>
        <w:t xml:space="preserve"> and </w:t>
      </w:r>
      <w:proofErr w:type="spellStart"/>
      <w:r w:rsidRPr="005443BA">
        <w:rPr>
          <w:rFonts w:ascii="Times New Roman" w:hAnsi="Times New Roman"/>
          <w:sz w:val="24"/>
          <w:szCs w:val="24"/>
        </w:rPr>
        <w:t>Koforidua</w:t>
      </w:r>
      <w:proofErr w:type="spellEnd"/>
      <w:r w:rsidRPr="005443BA">
        <w:rPr>
          <w:rFonts w:ascii="Times New Roman" w:hAnsi="Times New Roman"/>
          <w:sz w:val="24"/>
          <w:szCs w:val="24"/>
        </w:rPr>
        <w:t>, spreading the debt collections efforts. Our legal experts discuss every list of defaulters and educate management on the legal implications of each defaulter, before letters of indebtedness a</w:t>
      </w:r>
      <w:r>
        <w:rPr>
          <w:rFonts w:ascii="Times New Roman" w:hAnsi="Times New Roman"/>
          <w:sz w:val="24"/>
          <w:szCs w:val="24"/>
        </w:rPr>
        <w:t xml:space="preserve">re served on them. </w:t>
      </w:r>
      <w:proofErr w:type="gramStart"/>
      <w:r>
        <w:rPr>
          <w:rFonts w:ascii="Times New Roman" w:hAnsi="Times New Roman"/>
          <w:sz w:val="24"/>
          <w:szCs w:val="24"/>
        </w:rPr>
        <w:t xml:space="preserve">And our firm </w:t>
      </w:r>
      <w:r w:rsidRPr="005443BA">
        <w:rPr>
          <w:rFonts w:ascii="Times New Roman" w:hAnsi="Times New Roman"/>
          <w:sz w:val="24"/>
          <w:szCs w:val="24"/>
        </w:rPr>
        <w:t xml:space="preserve">of Accountants/Auditors Being Deloitte and </w:t>
      </w:r>
      <w:proofErr w:type="spellStart"/>
      <w:r w:rsidRPr="005443BA">
        <w:rPr>
          <w:rFonts w:ascii="Times New Roman" w:hAnsi="Times New Roman"/>
          <w:sz w:val="24"/>
          <w:szCs w:val="24"/>
        </w:rPr>
        <w:t>Touche</w:t>
      </w:r>
      <w:proofErr w:type="spellEnd"/>
      <w:r w:rsidRPr="005443BA">
        <w:rPr>
          <w:rFonts w:ascii="Times New Roman" w:hAnsi="Times New Roman"/>
          <w:sz w:val="24"/>
          <w:szCs w:val="24"/>
        </w:rPr>
        <w:t xml:space="preserve"> Forbes Consul International.</w:t>
      </w:r>
      <w:proofErr w:type="gramEnd"/>
    </w:p>
    <w:p w:rsidR="002023C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p>
    <w:p w:rsidR="002023CA" w:rsidRDefault="002023CA" w:rsidP="002023CA">
      <w:pPr>
        <w:pStyle w:val="ListParagraph"/>
        <w:numPr>
          <w:ilvl w:val="0"/>
          <w:numId w:val="2"/>
        </w:numPr>
        <w:jc w:val="both"/>
        <w:rPr>
          <w:rFonts w:ascii="Times New Roman" w:hAnsi="Times New Roman"/>
          <w:b/>
          <w:sz w:val="24"/>
          <w:szCs w:val="24"/>
          <w:u w:val="single"/>
        </w:rPr>
      </w:pPr>
      <w:r w:rsidRPr="00591F4C">
        <w:rPr>
          <w:rFonts w:ascii="Times New Roman" w:hAnsi="Times New Roman"/>
          <w:b/>
          <w:sz w:val="24"/>
          <w:szCs w:val="24"/>
          <w:u w:val="single"/>
        </w:rPr>
        <w:t>REQUIREMENTS</w:t>
      </w:r>
    </w:p>
    <w:p w:rsidR="002023CA" w:rsidRPr="00591F4C" w:rsidRDefault="002023CA" w:rsidP="002023CA">
      <w:pPr>
        <w:pStyle w:val="ListParagraph"/>
        <w:ind w:left="360" w:firstLine="360"/>
        <w:jc w:val="both"/>
        <w:rPr>
          <w:rFonts w:ascii="Times New Roman" w:hAnsi="Times New Roman"/>
          <w:b/>
          <w:sz w:val="24"/>
          <w:szCs w:val="24"/>
          <w:u w:val="single"/>
        </w:rPr>
      </w:pPr>
      <w:r w:rsidRPr="00591F4C">
        <w:rPr>
          <w:rFonts w:ascii="Times New Roman" w:hAnsi="Times New Roman"/>
          <w:sz w:val="24"/>
          <w:szCs w:val="24"/>
        </w:rPr>
        <w:t xml:space="preserve">Power of attorney/ letter of authority </w:t>
      </w:r>
    </w:p>
    <w:p w:rsidR="002023CA" w:rsidRPr="00591F4C" w:rsidRDefault="002023CA" w:rsidP="002023CA">
      <w:pPr>
        <w:pStyle w:val="ListParagraph"/>
        <w:spacing w:after="0"/>
        <w:jc w:val="both"/>
        <w:rPr>
          <w:rFonts w:ascii="Times New Roman" w:hAnsi="Times New Roman"/>
          <w:sz w:val="24"/>
          <w:szCs w:val="24"/>
        </w:rPr>
      </w:pPr>
      <w:proofErr w:type="gramStart"/>
      <w:r w:rsidRPr="00591F4C">
        <w:rPr>
          <w:rFonts w:ascii="Times New Roman" w:hAnsi="Times New Roman"/>
          <w:sz w:val="24"/>
          <w:szCs w:val="24"/>
        </w:rPr>
        <w:t>Agreement.</w:t>
      </w:r>
      <w:proofErr w:type="gramEnd"/>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Details of Debt: thus the age, Location of debtor/</w:t>
      </w:r>
      <w:r>
        <w:rPr>
          <w:rFonts w:ascii="Times New Roman" w:hAnsi="Times New Roman"/>
          <w:sz w:val="24"/>
          <w:szCs w:val="24"/>
        </w:rPr>
        <w:t>physical a</w:t>
      </w:r>
      <w:r w:rsidRPr="005443BA">
        <w:rPr>
          <w:rFonts w:ascii="Times New Roman" w:hAnsi="Times New Roman"/>
          <w:sz w:val="24"/>
          <w:szCs w:val="24"/>
        </w:rPr>
        <w:t>ddress, Pictures and little background information on the debt.</w:t>
      </w:r>
    </w:p>
    <w:p w:rsidR="002023CA" w:rsidRPr="005443BA" w:rsidRDefault="002023CA" w:rsidP="002023CA">
      <w:pPr>
        <w:pStyle w:val="ListParagraph"/>
        <w:jc w:val="both"/>
        <w:rPr>
          <w:rFonts w:ascii="Times New Roman" w:hAnsi="Times New Roman"/>
          <w:sz w:val="24"/>
          <w:szCs w:val="24"/>
        </w:rPr>
      </w:pPr>
      <w:proofErr w:type="gramStart"/>
      <w:r w:rsidRPr="005443BA">
        <w:rPr>
          <w:rFonts w:ascii="Times New Roman" w:hAnsi="Times New Roman"/>
          <w:sz w:val="24"/>
          <w:szCs w:val="24"/>
        </w:rPr>
        <w:t>Documents on security/Collateral if any.</w:t>
      </w:r>
      <w:proofErr w:type="gramEnd"/>
    </w:p>
    <w:p w:rsidR="002023CA" w:rsidRDefault="002023CA" w:rsidP="002023CA">
      <w:pPr>
        <w:pStyle w:val="ListParagraph"/>
        <w:ind w:left="0" w:firstLine="720"/>
        <w:jc w:val="both"/>
        <w:rPr>
          <w:rFonts w:ascii="Times New Roman" w:hAnsi="Times New Roman"/>
          <w:sz w:val="24"/>
          <w:szCs w:val="24"/>
        </w:rPr>
      </w:pPr>
      <w:r>
        <w:rPr>
          <w:rFonts w:ascii="Times New Roman" w:hAnsi="Times New Roman"/>
          <w:sz w:val="24"/>
          <w:szCs w:val="24"/>
        </w:rPr>
        <w:t>All trial jobs should not be less than GH¢50,000.00 in value.</w:t>
      </w:r>
    </w:p>
    <w:p w:rsidR="002023CA" w:rsidRDefault="002023CA" w:rsidP="002023CA">
      <w:pPr>
        <w:pStyle w:val="ListParagraph"/>
        <w:jc w:val="both"/>
        <w:rPr>
          <w:rFonts w:ascii="Times New Roman" w:hAnsi="Times New Roman"/>
          <w:sz w:val="24"/>
          <w:szCs w:val="24"/>
        </w:rPr>
      </w:pPr>
    </w:p>
    <w:p w:rsidR="0001397B" w:rsidRDefault="0001397B" w:rsidP="002023CA">
      <w:pPr>
        <w:pStyle w:val="ListParagraph"/>
        <w:jc w:val="both"/>
        <w:rPr>
          <w:rFonts w:ascii="Times New Roman" w:hAnsi="Times New Roman"/>
          <w:sz w:val="24"/>
          <w:szCs w:val="24"/>
        </w:rPr>
      </w:pPr>
    </w:p>
    <w:p w:rsidR="0001397B" w:rsidRDefault="0001397B" w:rsidP="002023CA">
      <w:pPr>
        <w:pStyle w:val="ListParagraph"/>
        <w:jc w:val="both"/>
        <w:rPr>
          <w:rFonts w:ascii="Times New Roman" w:hAnsi="Times New Roman"/>
          <w:sz w:val="24"/>
          <w:szCs w:val="24"/>
        </w:rPr>
      </w:pPr>
    </w:p>
    <w:p w:rsidR="0001397B" w:rsidRDefault="0001397B" w:rsidP="002023CA">
      <w:pPr>
        <w:pStyle w:val="ListParagraph"/>
        <w:jc w:val="both"/>
        <w:rPr>
          <w:rFonts w:ascii="Times New Roman" w:hAnsi="Times New Roman"/>
          <w:sz w:val="24"/>
          <w:szCs w:val="24"/>
        </w:rPr>
      </w:pPr>
    </w:p>
    <w:p w:rsidR="001E52D8" w:rsidRDefault="001E52D8" w:rsidP="002023CA">
      <w:pPr>
        <w:pStyle w:val="ListParagraph"/>
        <w:jc w:val="both"/>
        <w:rPr>
          <w:rFonts w:ascii="Times New Roman" w:hAnsi="Times New Roman"/>
          <w:sz w:val="24"/>
          <w:szCs w:val="24"/>
        </w:rPr>
      </w:pPr>
    </w:p>
    <w:p w:rsidR="001E52D8" w:rsidRDefault="001E52D8" w:rsidP="002023CA">
      <w:pPr>
        <w:pStyle w:val="ListParagraph"/>
        <w:jc w:val="both"/>
        <w:rPr>
          <w:rFonts w:ascii="Times New Roman" w:hAnsi="Times New Roman"/>
          <w:sz w:val="24"/>
          <w:szCs w:val="24"/>
        </w:rPr>
      </w:pPr>
    </w:p>
    <w:p w:rsidR="001E52D8" w:rsidRDefault="001E52D8" w:rsidP="002023CA">
      <w:pPr>
        <w:pStyle w:val="ListParagraph"/>
        <w:jc w:val="both"/>
        <w:rPr>
          <w:rFonts w:ascii="Times New Roman" w:hAnsi="Times New Roman"/>
          <w:sz w:val="24"/>
          <w:szCs w:val="24"/>
        </w:rPr>
      </w:pPr>
    </w:p>
    <w:p w:rsidR="001E52D8" w:rsidRDefault="001E52D8" w:rsidP="002023CA">
      <w:pPr>
        <w:pStyle w:val="ListParagraph"/>
        <w:jc w:val="both"/>
        <w:rPr>
          <w:rFonts w:ascii="Times New Roman" w:hAnsi="Times New Roman"/>
          <w:sz w:val="24"/>
          <w:szCs w:val="24"/>
        </w:rPr>
      </w:pPr>
    </w:p>
    <w:p w:rsidR="001E52D8" w:rsidRPr="005443BA" w:rsidRDefault="001E52D8" w:rsidP="002023CA">
      <w:pPr>
        <w:pStyle w:val="ListParagraph"/>
        <w:jc w:val="both"/>
        <w:rPr>
          <w:rFonts w:ascii="Times New Roman" w:hAnsi="Times New Roman"/>
          <w:sz w:val="24"/>
          <w:szCs w:val="24"/>
        </w:rPr>
      </w:pPr>
    </w:p>
    <w:p w:rsidR="002023CA" w:rsidRPr="005443BA" w:rsidRDefault="002023CA" w:rsidP="002023CA">
      <w:pPr>
        <w:pStyle w:val="ListParagraph"/>
        <w:numPr>
          <w:ilvl w:val="0"/>
          <w:numId w:val="2"/>
        </w:numPr>
        <w:jc w:val="both"/>
        <w:rPr>
          <w:rFonts w:ascii="Times New Roman" w:hAnsi="Times New Roman"/>
          <w:b/>
          <w:sz w:val="24"/>
          <w:szCs w:val="24"/>
          <w:u w:val="single"/>
        </w:rPr>
      </w:pPr>
      <w:r w:rsidRPr="005443BA">
        <w:rPr>
          <w:rFonts w:ascii="Times New Roman" w:hAnsi="Times New Roman"/>
          <w:b/>
          <w:sz w:val="24"/>
          <w:szCs w:val="24"/>
          <w:u w:val="single"/>
        </w:rPr>
        <w:t>LOCATION &amp; SPREAD/COVERAGE</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The national perspective of ECC is to extend its service</w:t>
      </w:r>
      <w:r>
        <w:rPr>
          <w:rFonts w:ascii="Times New Roman" w:hAnsi="Times New Roman"/>
          <w:sz w:val="24"/>
          <w:szCs w:val="24"/>
        </w:rPr>
        <w:t>s</w:t>
      </w:r>
      <w:r w:rsidRPr="005443BA">
        <w:rPr>
          <w:rFonts w:ascii="Times New Roman" w:hAnsi="Times New Roman"/>
          <w:sz w:val="24"/>
          <w:szCs w:val="24"/>
        </w:rPr>
        <w:t xml:space="preserve"> to all parts of the country but in the mean time we are dwelling in the regional capitals as well as some districts.</w:t>
      </w:r>
    </w:p>
    <w:p w:rsidR="002023C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Our head office in </w:t>
      </w:r>
      <w:smartTag w:uri="urn:schemas-microsoft-com:office:smarttags" w:element="place">
        <w:smartTag w:uri="urn:schemas-microsoft-com:office:smarttags" w:element="City">
          <w:r w:rsidRPr="005443BA">
            <w:rPr>
              <w:rFonts w:ascii="Times New Roman" w:hAnsi="Times New Roman"/>
              <w:sz w:val="24"/>
              <w:szCs w:val="24"/>
            </w:rPr>
            <w:t>Accra</w:t>
          </w:r>
        </w:smartTag>
      </w:smartTag>
      <w:r w:rsidRPr="005443BA">
        <w:rPr>
          <w:rFonts w:ascii="Times New Roman" w:hAnsi="Times New Roman"/>
          <w:sz w:val="24"/>
          <w:szCs w:val="24"/>
        </w:rPr>
        <w:t xml:space="preserve"> is located at </w:t>
      </w:r>
      <w:proofErr w:type="spellStart"/>
      <w:r w:rsidRPr="005443BA">
        <w:rPr>
          <w:rFonts w:ascii="Times New Roman" w:hAnsi="Times New Roman"/>
          <w:sz w:val="24"/>
          <w:szCs w:val="24"/>
        </w:rPr>
        <w:t>Adabraka</w:t>
      </w:r>
      <w:proofErr w:type="spellEnd"/>
      <w:r w:rsidRPr="005443BA">
        <w:rPr>
          <w:rFonts w:ascii="Times New Roman" w:hAnsi="Times New Roman"/>
          <w:sz w:val="24"/>
          <w:szCs w:val="24"/>
        </w:rPr>
        <w:t>.</w:t>
      </w:r>
    </w:p>
    <w:p w:rsidR="002023C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Ayie Kushie Close, Off </w:t>
      </w:r>
      <w:proofErr w:type="spellStart"/>
      <w:r w:rsidRPr="005443BA">
        <w:rPr>
          <w:rFonts w:ascii="Times New Roman" w:hAnsi="Times New Roman"/>
          <w:sz w:val="24"/>
          <w:szCs w:val="24"/>
        </w:rPr>
        <w:t>Farrer</w:t>
      </w:r>
      <w:proofErr w:type="spellEnd"/>
      <w:r w:rsidRPr="005443BA">
        <w:rPr>
          <w:rFonts w:ascii="Times New Roman" w:hAnsi="Times New Roman"/>
          <w:sz w:val="24"/>
          <w:szCs w:val="24"/>
        </w:rPr>
        <w:t xml:space="preserve"> Avenue,</w:t>
      </w: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 xml:space="preserve"> </w:t>
      </w:r>
      <w:proofErr w:type="gramStart"/>
      <w:r w:rsidRPr="005443BA">
        <w:rPr>
          <w:rFonts w:ascii="Times New Roman" w:hAnsi="Times New Roman"/>
          <w:sz w:val="24"/>
          <w:szCs w:val="24"/>
        </w:rPr>
        <w:t>Behind Glenn’s night club, Accra.</w:t>
      </w:r>
      <w:proofErr w:type="gramEnd"/>
    </w:p>
    <w:p w:rsidR="002023CA" w:rsidRPr="005443BA" w:rsidRDefault="002023CA" w:rsidP="002023CA">
      <w:pPr>
        <w:pStyle w:val="ListParagraph"/>
        <w:jc w:val="both"/>
        <w:rPr>
          <w:rFonts w:ascii="Times New Roman" w:hAnsi="Times New Roman"/>
          <w:sz w:val="24"/>
          <w:szCs w:val="24"/>
        </w:rPr>
      </w:pPr>
    </w:p>
    <w:p w:rsidR="002023CA" w:rsidRDefault="002023CA" w:rsidP="002023CA">
      <w:pPr>
        <w:pStyle w:val="ListParagraph"/>
        <w:spacing w:after="0"/>
        <w:ind w:left="0"/>
        <w:jc w:val="both"/>
        <w:rPr>
          <w:rFonts w:ascii="Times New Roman" w:hAnsi="Times New Roman"/>
          <w:sz w:val="24"/>
          <w:szCs w:val="24"/>
        </w:rPr>
      </w:pPr>
    </w:p>
    <w:p w:rsidR="002023CA" w:rsidRDefault="002023CA" w:rsidP="002023CA">
      <w:pPr>
        <w:pStyle w:val="ListParagraph"/>
        <w:spacing w:after="0"/>
        <w:jc w:val="both"/>
        <w:rPr>
          <w:rFonts w:ascii="Times New Roman" w:hAnsi="Times New Roman"/>
          <w:sz w:val="24"/>
          <w:szCs w:val="24"/>
        </w:rPr>
      </w:pPr>
      <w:r w:rsidRPr="005443BA">
        <w:rPr>
          <w:rFonts w:ascii="Times New Roman" w:hAnsi="Times New Roman"/>
          <w:sz w:val="24"/>
          <w:szCs w:val="24"/>
        </w:rPr>
        <w:t xml:space="preserve">Our Kumasi Office is </w:t>
      </w:r>
      <w:r>
        <w:rPr>
          <w:rFonts w:ascii="Times New Roman" w:hAnsi="Times New Roman"/>
          <w:sz w:val="24"/>
          <w:szCs w:val="24"/>
        </w:rPr>
        <w:t xml:space="preserve">around </w:t>
      </w:r>
    </w:p>
    <w:p w:rsidR="002023CA" w:rsidRDefault="002023CA" w:rsidP="002023CA">
      <w:pPr>
        <w:pStyle w:val="ListParagraph"/>
        <w:spacing w:after="0"/>
        <w:jc w:val="both"/>
        <w:rPr>
          <w:rFonts w:ascii="Times New Roman" w:hAnsi="Times New Roman"/>
          <w:sz w:val="24"/>
          <w:szCs w:val="24"/>
        </w:rPr>
      </w:pPr>
      <w:r>
        <w:rPr>
          <w:rFonts w:ascii="Times New Roman" w:hAnsi="Times New Roman"/>
          <w:sz w:val="24"/>
          <w:szCs w:val="24"/>
        </w:rPr>
        <w:t xml:space="preserve">Vanguard Assurance Co. Ltd, </w:t>
      </w:r>
    </w:p>
    <w:p w:rsidR="002023CA" w:rsidRDefault="002023CA" w:rsidP="002023CA">
      <w:pPr>
        <w:pStyle w:val="ListParagraph"/>
        <w:spacing w:after="0"/>
        <w:jc w:val="both"/>
        <w:rPr>
          <w:rFonts w:ascii="Times New Roman" w:hAnsi="Times New Roman"/>
          <w:sz w:val="24"/>
          <w:szCs w:val="24"/>
        </w:rPr>
      </w:pPr>
      <w:proofErr w:type="gramStart"/>
      <w:r>
        <w:rPr>
          <w:rFonts w:ascii="Times New Roman" w:hAnsi="Times New Roman"/>
          <w:sz w:val="24"/>
          <w:szCs w:val="24"/>
        </w:rPr>
        <w:t xml:space="preserve">Opposite </w:t>
      </w:r>
      <w:proofErr w:type="spellStart"/>
      <w:r>
        <w:rPr>
          <w:rFonts w:ascii="Times New Roman" w:hAnsi="Times New Roman"/>
          <w:sz w:val="24"/>
          <w:szCs w:val="24"/>
        </w:rPr>
        <w:t>Presby</w:t>
      </w:r>
      <w:proofErr w:type="spellEnd"/>
      <w:r>
        <w:rPr>
          <w:rFonts w:ascii="Times New Roman" w:hAnsi="Times New Roman"/>
          <w:sz w:val="24"/>
          <w:szCs w:val="24"/>
        </w:rPr>
        <w:t xml:space="preserve"> Church, Adum-Kumasi.</w:t>
      </w:r>
      <w:proofErr w:type="gramEnd"/>
    </w:p>
    <w:p w:rsidR="002023CA" w:rsidRDefault="002023CA" w:rsidP="002023CA">
      <w:pPr>
        <w:pStyle w:val="ListParagraph"/>
        <w:spacing w:after="0"/>
        <w:jc w:val="both"/>
        <w:rPr>
          <w:rFonts w:ascii="Times New Roman" w:hAnsi="Times New Roman"/>
          <w:sz w:val="24"/>
          <w:szCs w:val="24"/>
        </w:rPr>
      </w:pPr>
      <w:r>
        <w:rPr>
          <w:rFonts w:ascii="Times New Roman" w:hAnsi="Times New Roman"/>
          <w:sz w:val="24"/>
          <w:szCs w:val="24"/>
        </w:rPr>
        <w:t xml:space="preserve"> P.O. Box 602. Tel: 03220-25595 </w:t>
      </w:r>
    </w:p>
    <w:p w:rsidR="002023CA" w:rsidRDefault="002023CA" w:rsidP="002023CA">
      <w:pPr>
        <w:pStyle w:val="ListParagraph"/>
        <w:spacing w:after="0"/>
        <w:jc w:val="both"/>
        <w:rPr>
          <w:rFonts w:ascii="Times New Roman" w:hAnsi="Times New Roman"/>
          <w:sz w:val="24"/>
          <w:szCs w:val="24"/>
        </w:rPr>
      </w:pPr>
    </w:p>
    <w:p w:rsidR="002023CA" w:rsidRPr="005443BA" w:rsidRDefault="002023CA" w:rsidP="002023CA">
      <w:pPr>
        <w:pStyle w:val="ListParagraph"/>
        <w:spacing w:after="0"/>
        <w:jc w:val="both"/>
        <w:rPr>
          <w:rFonts w:ascii="Times New Roman" w:hAnsi="Times New Roman"/>
          <w:sz w:val="24"/>
          <w:szCs w:val="24"/>
        </w:rPr>
      </w:pPr>
      <w:r w:rsidRPr="005443BA">
        <w:rPr>
          <w:rFonts w:ascii="Times New Roman" w:hAnsi="Times New Roman"/>
          <w:sz w:val="24"/>
          <w:szCs w:val="24"/>
        </w:rPr>
        <w:t xml:space="preserve">Tamale: </w:t>
      </w:r>
      <w:proofErr w:type="spellStart"/>
      <w:r w:rsidRPr="005443BA">
        <w:rPr>
          <w:rFonts w:ascii="Times New Roman" w:hAnsi="Times New Roman"/>
          <w:sz w:val="24"/>
          <w:szCs w:val="24"/>
        </w:rPr>
        <w:t>Aboabo</w:t>
      </w:r>
      <w:proofErr w:type="spellEnd"/>
      <w:r w:rsidRPr="005443BA">
        <w:rPr>
          <w:rFonts w:ascii="Times New Roman" w:hAnsi="Times New Roman"/>
          <w:sz w:val="24"/>
          <w:szCs w:val="24"/>
        </w:rPr>
        <w:t xml:space="preserve"> Market Complex</w:t>
      </w:r>
    </w:p>
    <w:p w:rsidR="002023CA" w:rsidRDefault="002023CA" w:rsidP="002023CA">
      <w:pPr>
        <w:pStyle w:val="ListParagraph"/>
        <w:spacing w:after="0"/>
        <w:jc w:val="both"/>
        <w:rPr>
          <w:rFonts w:ascii="Times New Roman" w:hAnsi="Times New Roman"/>
          <w:sz w:val="24"/>
          <w:szCs w:val="24"/>
        </w:rPr>
      </w:pPr>
      <w:proofErr w:type="spellStart"/>
      <w:r w:rsidRPr="005443BA">
        <w:rPr>
          <w:rFonts w:ascii="Times New Roman" w:hAnsi="Times New Roman"/>
          <w:sz w:val="24"/>
          <w:szCs w:val="24"/>
        </w:rPr>
        <w:t>Koforidua</w:t>
      </w:r>
      <w:proofErr w:type="spellEnd"/>
      <w:r w:rsidRPr="005443BA">
        <w:rPr>
          <w:rFonts w:ascii="Times New Roman" w:hAnsi="Times New Roman"/>
          <w:sz w:val="24"/>
          <w:szCs w:val="24"/>
        </w:rPr>
        <w:t>: 3</w:t>
      </w:r>
      <w:r w:rsidRPr="005443BA">
        <w:rPr>
          <w:rFonts w:ascii="Times New Roman" w:hAnsi="Times New Roman"/>
          <w:sz w:val="24"/>
          <w:szCs w:val="24"/>
          <w:vertAlign w:val="superscript"/>
        </w:rPr>
        <w:t>rd</w:t>
      </w:r>
      <w:r w:rsidRPr="005443BA">
        <w:rPr>
          <w:rFonts w:ascii="Times New Roman" w:hAnsi="Times New Roman"/>
          <w:sz w:val="24"/>
          <w:szCs w:val="24"/>
        </w:rPr>
        <w:t xml:space="preserve"> floor SIC Building</w:t>
      </w:r>
    </w:p>
    <w:p w:rsidR="002023CA" w:rsidRPr="005443BA" w:rsidRDefault="002023CA" w:rsidP="002023CA">
      <w:pPr>
        <w:pStyle w:val="ListParagraph"/>
        <w:spacing w:after="0"/>
        <w:jc w:val="both"/>
        <w:rPr>
          <w:rFonts w:ascii="Times New Roman" w:hAnsi="Times New Roman"/>
          <w:sz w:val="24"/>
          <w:szCs w:val="24"/>
        </w:rPr>
      </w:pPr>
      <w:proofErr w:type="spellStart"/>
      <w:r w:rsidRPr="005443BA">
        <w:rPr>
          <w:rFonts w:ascii="Times New Roman" w:hAnsi="Times New Roman"/>
          <w:sz w:val="24"/>
          <w:szCs w:val="24"/>
        </w:rPr>
        <w:t>Sunyani</w:t>
      </w:r>
      <w:proofErr w:type="spellEnd"/>
      <w:r w:rsidRPr="005443BA">
        <w:rPr>
          <w:rFonts w:ascii="Times New Roman" w:hAnsi="Times New Roman"/>
          <w:sz w:val="24"/>
          <w:szCs w:val="24"/>
        </w:rPr>
        <w:t xml:space="preserve"> &amp; </w:t>
      </w:r>
      <w:proofErr w:type="spellStart"/>
      <w:r w:rsidRPr="005443BA">
        <w:rPr>
          <w:rFonts w:ascii="Times New Roman" w:hAnsi="Times New Roman"/>
          <w:sz w:val="24"/>
          <w:szCs w:val="24"/>
        </w:rPr>
        <w:t>Techiman</w:t>
      </w:r>
      <w:proofErr w:type="spellEnd"/>
      <w:r w:rsidRPr="005443BA">
        <w:rPr>
          <w:rFonts w:ascii="Times New Roman" w:hAnsi="Times New Roman"/>
          <w:sz w:val="24"/>
          <w:szCs w:val="24"/>
        </w:rPr>
        <w:t xml:space="preserve"> </w:t>
      </w:r>
    </w:p>
    <w:p w:rsidR="002023CA" w:rsidRDefault="002023CA" w:rsidP="002023CA">
      <w:pPr>
        <w:pStyle w:val="ListParagraph"/>
        <w:jc w:val="both"/>
        <w:rPr>
          <w:rFonts w:ascii="Times New Roman" w:hAnsi="Times New Roman"/>
          <w:sz w:val="24"/>
          <w:szCs w:val="24"/>
        </w:rPr>
      </w:pPr>
      <w:r>
        <w:rPr>
          <w:rFonts w:ascii="Times New Roman" w:hAnsi="Times New Roman"/>
          <w:sz w:val="24"/>
          <w:szCs w:val="24"/>
        </w:rPr>
        <w:t xml:space="preserve">Takoradi: </w:t>
      </w:r>
      <w:proofErr w:type="spellStart"/>
      <w:r>
        <w:rPr>
          <w:rFonts w:ascii="Times New Roman" w:hAnsi="Times New Roman"/>
          <w:sz w:val="24"/>
          <w:szCs w:val="24"/>
        </w:rPr>
        <w:t>Tanokrom</w:t>
      </w:r>
      <w:proofErr w:type="spellEnd"/>
      <w:r>
        <w:rPr>
          <w:rFonts w:ascii="Times New Roman" w:hAnsi="Times New Roman"/>
          <w:sz w:val="24"/>
          <w:szCs w:val="24"/>
        </w:rPr>
        <w:t xml:space="preserve"> next to </w:t>
      </w:r>
      <w:proofErr w:type="spellStart"/>
      <w:r>
        <w:rPr>
          <w:rFonts w:ascii="Times New Roman" w:hAnsi="Times New Roman"/>
          <w:sz w:val="24"/>
          <w:szCs w:val="24"/>
        </w:rPr>
        <w:t>Kpogas</w:t>
      </w:r>
      <w:proofErr w:type="spellEnd"/>
      <w:r>
        <w:rPr>
          <w:rFonts w:ascii="Times New Roman" w:hAnsi="Times New Roman"/>
          <w:sz w:val="24"/>
          <w:szCs w:val="24"/>
        </w:rPr>
        <w:t xml:space="preserve"> Furniture</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Please begin by developing a vision with us, ECC that does not only support corporate goals but actually drive them to grow even further, and soon you will be enjoying the fruits of our operational successes.</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We shall be grateful if a meeting could be arranged at your earliest convenience for further briefing.</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We look forward to hearing from you soon.</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r w:rsidRPr="005443BA">
        <w:rPr>
          <w:rFonts w:ascii="Times New Roman" w:hAnsi="Times New Roman"/>
          <w:sz w:val="24"/>
          <w:szCs w:val="24"/>
        </w:rPr>
        <w:t>Yours faithfully,</w:t>
      </w: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jc w:val="both"/>
        <w:rPr>
          <w:rFonts w:ascii="Times New Roman" w:hAnsi="Times New Roman"/>
          <w:sz w:val="24"/>
          <w:szCs w:val="24"/>
        </w:rPr>
      </w:pPr>
    </w:p>
    <w:p w:rsidR="002023CA" w:rsidRPr="005443BA" w:rsidRDefault="002023CA" w:rsidP="002023CA">
      <w:pPr>
        <w:pStyle w:val="ListParagraph"/>
        <w:spacing w:line="240" w:lineRule="auto"/>
        <w:jc w:val="both"/>
        <w:rPr>
          <w:rFonts w:ascii="Times New Roman" w:hAnsi="Times New Roman"/>
          <w:sz w:val="24"/>
          <w:szCs w:val="24"/>
        </w:rPr>
      </w:pPr>
    </w:p>
    <w:p w:rsidR="002023CA" w:rsidRDefault="002023CA" w:rsidP="002023CA">
      <w:pPr>
        <w:ind w:firstLine="720"/>
        <w:contextualSpacing/>
        <w:jc w:val="both"/>
        <w:rPr>
          <w:rFonts w:ascii="Times New Roman" w:hAnsi="Times New Roman"/>
          <w:sz w:val="24"/>
          <w:szCs w:val="24"/>
        </w:rPr>
      </w:pPr>
      <w:proofErr w:type="spellStart"/>
      <w:r>
        <w:rPr>
          <w:rFonts w:ascii="Times New Roman" w:hAnsi="Times New Roman"/>
          <w:sz w:val="24"/>
          <w:szCs w:val="24"/>
        </w:rPr>
        <w:t>Hellen</w:t>
      </w:r>
      <w:proofErr w:type="spellEnd"/>
      <w:r>
        <w:rPr>
          <w:rFonts w:ascii="Times New Roman" w:hAnsi="Times New Roman"/>
          <w:sz w:val="24"/>
          <w:szCs w:val="24"/>
        </w:rPr>
        <w:t xml:space="preserve"> </w:t>
      </w:r>
      <w:proofErr w:type="spellStart"/>
      <w:r>
        <w:rPr>
          <w:rFonts w:ascii="Times New Roman" w:hAnsi="Times New Roman"/>
          <w:sz w:val="24"/>
          <w:szCs w:val="24"/>
        </w:rPr>
        <w:t>Akpasa</w:t>
      </w:r>
      <w:proofErr w:type="spellEnd"/>
    </w:p>
    <w:p w:rsidR="002023CA" w:rsidRDefault="002023CA" w:rsidP="002023CA">
      <w:pPr>
        <w:ind w:firstLine="720"/>
        <w:contextualSpacing/>
        <w:jc w:val="both"/>
        <w:rPr>
          <w:rFonts w:ascii="Times New Roman" w:hAnsi="Times New Roman"/>
          <w:sz w:val="24"/>
          <w:szCs w:val="24"/>
        </w:rPr>
      </w:pPr>
      <w:r>
        <w:rPr>
          <w:rFonts w:ascii="Times New Roman" w:hAnsi="Times New Roman"/>
          <w:sz w:val="24"/>
          <w:szCs w:val="24"/>
        </w:rPr>
        <w:t>0246732450</w:t>
      </w:r>
    </w:p>
    <w:p w:rsidR="002023CA" w:rsidRDefault="002023CA" w:rsidP="002023CA">
      <w:pPr>
        <w:ind w:firstLine="720"/>
        <w:contextualSpacing/>
        <w:jc w:val="both"/>
        <w:rPr>
          <w:rFonts w:ascii="Times New Roman" w:hAnsi="Times New Roman"/>
          <w:sz w:val="24"/>
          <w:szCs w:val="24"/>
        </w:rPr>
      </w:pPr>
    </w:p>
    <w:p w:rsidR="002023CA" w:rsidRDefault="002023CA" w:rsidP="002023CA">
      <w:pPr>
        <w:ind w:firstLine="720"/>
        <w:contextualSpacing/>
        <w:jc w:val="both"/>
        <w:rPr>
          <w:rFonts w:ascii="Times New Roman" w:hAnsi="Times New Roman"/>
          <w:sz w:val="24"/>
          <w:szCs w:val="24"/>
        </w:rPr>
      </w:pPr>
      <w:r>
        <w:rPr>
          <w:rFonts w:ascii="Times New Roman" w:hAnsi="Times New Roman"/>
          <w:sz w:val="24"/>
          <w:szCs w:val="24"/>
        </w:rPr>
        <w:t xml:space="preserve">Marketing </w:t>
      </w:r>
      <w:r w:rsidR="001E52D8">
        <w:rPr>
          <w:rFonts w:ascii="Times New Roman" w:hAnsi="Times New Roman"/>
          <w:sz w:val="24"/>
          <w:szCs w:val="24"/>
        </w:rPr>
        <w:t>Officer</w:t>
      </w:r>
    </w:p>
    <w:p w:rsidR="001E52D8" w:rsidRDefault="001E52D8" w:rsidP="002023CA">
      <w:pPr>
        <w:ind w:firstLine="720"/>
        <w:contextualSpacing/>
        <w:jc w:val="both"/>
        <w:rPr>
          <w:rFonts w:ascii="Times New Roman" w:hAnsi="Times New Roman"/>
          <w:sz w:val="24"/>
          <w:szCs w:val="24"/>
        </w:rPr>
      </w:pPr>
    </w:p>
    <w:p w:rsidR="00126170" w:rsidRPr="002023CA" w:rsidRDefault="00126170" w:rsidP="002023CA">
      <w:pPr>
        <w:ind w:firstLine="720"/>
      </w:pPr>
    </w:p>
    <w:sectPr w:rsidR="00126170" w:rsidRPr="002023CA" w:rsidSect="008C2A5E">
      <w:pgSz w:w="12240" w:h="15840"/>
      <w:pgMar w:top="63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051AE"/>
    <w:multiLevelType w:val="hybridMultilevel"/>
    <w:tmpl w:val="43A8F8A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FA7DC3"/>
    <w:multiLevelType w:val="hybridMultilevel"/>
    <w:tmpl w:val="067AF8E0"/>
    <w:lvl w:ilvl="0" w:tplc="0409000F">
      <w:start w:val="1"/>
      <w:numFmt w:val="decimal"/>
      <w:lvlText w:val="%1."/>
      <w:lvlJc w:val="left"/>
      <w:pPr>
        <w:tabs>
          <w:tab w:val="num" w:pos="720"/>
        </w:tabs>
        <w:ind w:left="720" w:hanging="360"/>
      </w:pPr>
      <w:rPr>
        <w:rFonts w:hint="default"/>
      </w:rPr>
    </w:lvl>
    <w:lvl w:ilvl="1" w:tplc="52EA4E8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2023CA"/>
    <w:rsid w:val="0001397B"/>
    <w:rsid w:val="000C1EB8"/>
    <w:rsid w:val="00126170"/>
    <w:rsid w:val="001A4C2E"/>
    <w:rsid w:val="001E52D8"/>
    <w:rsid w:val="002023CA"/>
    <w:rsid w:val="00251C21"/>
    <w:rsid w:val="003C1D03"/>
    <w:rsid w:val="004543A9"/>
    <w:rsid w:val="00711090"/>
    <w:rsid w:val="007F4FBF"/>
    <w:rsid w:val="00890296"/>
    <w:rsid w:val="008C2A5E"/>
    <w:rsid w:val="00927B13"/>
    <w:rsid w:val="009F0EB3"/>
    <w:rsid w:val="00C249BA"/>
    <w:rsid w:val="00CA6FAD"/>
    <w:rsid w:val="00CF5C2C"/>
    <w:rsid w:val="00D0138B"/>
    <w:rsid w:val="00E13330"/>
    <w:rsid w:val="00E94D89"/>
    <w:rsid w:val="00F32F4D"/>
    <w:rsid w:val="00F52ACF"/>
    <w:rsid w:val="00F61878"/>
    <w:rsid w:val="00F62DCC"/>
    <w:rsid w:val="00F638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3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cp:lastPrinted>2012-01-10T08:11:00Z</cp:lastPrinted>
  <dcterms:created xsi:type="dcterms:W3CDTF">2011-11-04T09:10:00Z</dcterms:created>
  <dcterms:modified xsi:type="dcterms:W3CDTF">2012-01-10T09:47:00Z</dcterms:modified>
</cp:coreProperties>
</file>